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046D" w14:textId="77777777" w:rsidR="00352CFD" w:rsidRPr="002420F3" w:rsidRDefault="00BC56F2">
      <w:pPr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>RECONCILIATION</w:t>
      </w:r>
    </w:p>
    <w:p w14:paraId="46F0C5C1" w14:textId="77777777" w:rsidR="00B97D6C" w:rsidRPr="002420F3" w:rsidRDefault="00B97D6C">
      <w:pPr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 xml:space="preserve">In the books of </w:t>
      </w:r>
      <w:proofErr w:type="spellStart"/>
      <w:r w:rsidRPr="002420F3">
        <w:rPr>
          <w:sz w:val="24"/>
          <w:szCs w:val="24"/>
          <w:lang w:val="en-ZA"/>
        </w:rPr>
        <w:t>Hammox</w:t>
      </w:r>
      <w:proofErr w:type="spellEnd"/>
      <w:r w:rsidRPr="002420F3">
        <w:rPr>
          <w:sz w:val="24"/>
          <w:szCs w:val="24"/>
          <w:lang w:val="en-ZA"/>
        </w:rPr>
        <w:t xml:space="preserve"> Traders, the net total of the Debtors and Creditors Lists do not correspond with the balances of the Debtors and Creditors Control Account.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0"/>
        <w:gridCol w:w="2276"/>
        <w:gridCol w:w="561"/>
        <w:gridCol w:w="996"/>
        <w:gridCol w:w="629"/>
        <w:gridCol w:w="460"/>
        <w:gridCol w:w="2300"/>
        <w:gridCol w:w="580"/>
        <w:gridCol w:w="962"/>
      </w:tblGrid>
      <w:tr w:rsidR="00B97D6C" w:rsidRPr="002420F3" w14:paraId="1BFAE19C" w14:textId="77777777" w:rsidTr="00B97D6C">
        <w:tc>
          <w:tcPr>
            <w:tcW w:w="10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DF5635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DEBTORS CONTROL</w:t>
            </w:r>
          </w:p>
        </w:tc>
      </w:tr>
      <w:tr w:rsidR="00B97D6C" w:rsidRPr="002420F3" w14:paraId="24830F0E" w14:textId="77777777" w:rsidTr="00B97D6C"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</w:tcPr>
          <w:p w14:paraId="02ADD38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1996C5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14:paraId="55DE0E3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14:paraId="42D41ED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FBCD3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3 300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</w:tcPr>
          <w:p w14:paraId="16EBD6A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095882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3394F35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Debtors allowances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7448533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DAJ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15ACE2BC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450</w:t>
            </w:r>
          </w:p>
        </w:tc>
      </w:tr>
      <w:tr w:rsidR="00B97D6C" w:rsidRPr="002420F3" w14:paraId="64CF7512" w14:textId="77777777" w:rsidTr="00B97D6C">
        <w:tc>
          <w:tcPr>
            <w:tcW w:w="647" w:type="dxa"/>
            <w:tcBorders>
              <w:left w:val="single" w:sz="12" w:space="0" w:color="auto"/>
            </w:tcBorders>
          </w:tcPr>
          <w:p w14:paraId="52E54DD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41E9504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30 </w:t>
            </w:r>
          </w:p>
        </w:tc>
        <w:tc>
          <w:tcPr>
            <w:tcW w:w="2412" w:type="dxa"/>
          </w:tcPr>
          <w:p w14:paraId="2EB9C60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Sales</w:t>
            </w:r>
          </w:p>
        </w:tc>
        <w:tc>
          <w:tcPr>
            <w:tcW w:w="533" w:type="dxa"/>
          </w:tcPr>
          <w:p w14:paraId="27EFD02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3610D2B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24 550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E717873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2269AD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3E0DD88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49" w:type="dxa"/>
          </w:tcPr>
          <w:p w14:paraId="3438B16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1005" w:type="dxa"/>
            <w:vAlign w:val="center"/>
          </w:tcPr>
          <w:p w14:paraId="7DF96CCA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18 760</w:t>
            </w:r>
          </w:p>
        </w:tc>
      </w:tr>
      <w:tr w:rsidR="00B97D6C" w:rsidRPr="002420F3" w14:paraId="4D31FC58" w14:textId="77777777" w:rsidTr="00B97D6C">
        <w:tc>
          <w:tcPr>
            <w:tcW w:w="647" w:type="dxa"/>
            <w:tcBorders>
              <w:left w:val="single" w:sz="12" w:space="0" w:color="auto"/>
            </w:tcBorders>
          </w:tcPr>
          <w:p w14:paraId="05CB1EC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C67F5E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1B51A1A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25B3F58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03DF6F8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670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DC5361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1B94A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3C6DEB8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allowed</w:t>
            </w:r>
          </w:p>
        </w:tc>
        <w:tc>
          <w:tcPr>
            <w:tcW w:w="549" w:type="dxa"/>
          </w:tcPr>
          <w:p w14:paraId="5FF1478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1005" w:type="dxa"/>
            <w:vAlign w:val="center"/>
          </w:tcPr>
          <w:p w14:paraId="4651DA56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350</w:t>
            </w:r>
          </w:p>
        </w:tc>
      </w:tr>
      <w:tr w:rsidR="00B97D6C" w:rsidRPr="002420F3" w14:paraId="0D4B198C" w14:textId="77777777" w:rsidTr="00B97D6C">
        <w:tc>
          <w:tcPr>
            <w:tcW w:w="647" w:type="dxa"/>
            <w:tcBorders>
              <w:left w:val="single" w:sz="12" w:space="0" w:color="auto"/>
            </w:tcBorders>
          </w:tcPr>
          <w:p w14:paraId="11AA936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7E5FC0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2D01C2E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379EDA2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6423F9E2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3364CA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526D48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1DB3BAD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49" w:type="dxa"/>
          </w:tcPr>
          <w:p w14:paraId="1313EA1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5" w:type="dxa"/>
            <w:vAlign w:val="center"/>
          </w:tcPr>
          <w:p w14:paraId="7E07D38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440</w:t>
            </w:r>
          </w:p>
        </w:tc>
      </w:tr>
      <w:tr w:rsidR="00B97D6C" w:rsidRPr="002420F3" w14:paraId="59D6F5AF" w14:textId="77777777" w:rsidTr="00B97D6C">
        <w:tc>
          <w:tcPr>
            <w:tcW w:w="647" w:type="dxa"/>
            <w:tcBorders>
              <w:left w:val="single" w:sz="12" w:space="0" w:color="auto"/>
            </w:tcBorders>
          </w:tcPr>
          <w:p w14:paraId="151FBD3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7DA9D68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77977E5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09D78BB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8459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1732CF0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33E2913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2BA815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</w:tcPr>
          <w:p w14:paraId="5800AC5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2CE149BF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8 520</w:t>
            </w:r>
          </w:p>
        </w:tc>
      </w:tr>
      <w:tr w:rsidR="00B97D6C" w:rsidRPr="002420F3" w14:paraId="06318992" w14:textId="77777777" w:rsidTr="00B97D6C">
        <w:tc>
          <w:tcPr>
            <w:tcW w:w="647" w:type="dxa"/>
            <w:tcBorders>
              <w:left w:val="single" w:sz="12" w:space="0" w:color="auto"/>
            </w:tcBorders>
          </w:tcPr>
          <w:p w14:paraId="269C177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4D3DD2E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57CFCB9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59C349F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FA1D5E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28 520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1D456A4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B0BECE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638D41F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3D27D8C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B4FBED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28 520</w:t>
            </w:r>
          </w:p>
        </w:tc>
      </w:tr>
      <w:tr w:rsidR="00B97D6C" w:rsidRPr="002420F3" w14:paraId="31DA0096" w14:textId="77777777" w:rsidTr="00B97D6C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</w:tcPr>
          <w:p w14:paraId="35774AA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C78C83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00A6632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0A37130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1EC66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8 520</w:t>
            </w: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 w14:paraId="5F37103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E76A3B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0874709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14:paraId="7611008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4E8F3E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</w:tbl>
    <w:p w14:paraId="135543C6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</w:p>
    <w:p w14:paraId="4915CF22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DEBTORS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4"/>
        <w:gridCol w:w="2162"/>
        <w:gridCol w:w="2164"/>
      </w:tblGrid>
      <w:tr w:rsidR="00B97D6C" w:rsidRPr="002420F3" w14:paraId="53C7B15F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81AC6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E80C74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26E8C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B97D6C" w:rsidRPr="002420F3" w14:paraId="2082751E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C726A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Collins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E0B5F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4 120</w:t>
            </w: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7249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2C4BDF55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47D3BA58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0A08F86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AAEBB1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350</w:t>
            </w:r>
          </w:p>
        </w:tc>
      </w:tr>
      <w:tr w:rsidR="00B97D6C" w:rsidRPr="002420F3" w14:paraId="675D3613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75C39D63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Pillay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6C79D32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3 400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8A75B1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075A4E0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7DF058C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Stahls</w:t>
            </w:r>
            <w:proofErr w:type="spellEnd"/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0889ECDC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600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2E507A6E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4C84F8AB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C431A3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Shultz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550841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820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0CE872B3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50BC424F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2444A87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Sanders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78FEB53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50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5E7BDC3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5A9A8CE2" w14:textId="77777777" w:rsidTr="00B97D6C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8B51A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Alan</w:t>
            </w: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588F92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120</w:t>
            </w: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88A7D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782BDEC0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BAE63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EFE0893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9 110</w:t>
            </w: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9BA594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350</w:t>
            </w:r>
          </w:p>
        </w:tc>
      </w:tr>
    </w:tbl>
    <w:p w14:paraId="460D7099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460"/>
        <w:gridCol w:w="2300"/>
        <w:gridCol w:w="560"/>
        <w:gridCol w:w="973"/>
        <w:gridCol w:w="645"/>
        <w:gridCol w:w="460"/>
        <w:gridCol w:w="2302"/>
        <w:gridCol w:w="561"/>
        <w:gridCol w:w="969"/>
      </w:tblGrid>
      <w:tr w:rsidR="00B97D6C" w:rsidRPr="002420F3" w14:paraId="432DF88B" w14:textId="77777777" w:rsidTr="00A23586">
        <w:tc>
          <w:tcPr>
            <w:tcW w:w="10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A5795F" w14:textId="77777777" w:rsidR="00B97D6C" w:rsidRPr="002420F3" w:rsidRDefault="00B97D6C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CREDITORS CONTROL</w:t>
            </w:r>
          </w:p>
        </w:tc>
      </w:tr>
      <w:tr w:rsidR="002420F3" w:rsidRPr="002420F3" w14:paraId="7FDF9954" w14:textId="77777777" w:rsidTr="00A23586"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</w:tcPr>
          <w:p w14:paraId="55A4CDD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E7915FC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14:paraId="764D2176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14:paraId="08099F8F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AF5CE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35 550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</w:tcPr>
          <w:p w14:paraId="14F4DD4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0D9563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7CCE488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10C0A81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49FCBCB0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14 680</w:t>
            </w:r>
          </w:p>
        </w:tc>
      </w:tr>
      <w:tr w:rsidR="002420F3" w:rsidRPr="002420F3" w14:paraId="39797265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400A333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25B76A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9E3F54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received</w:t>
            </w:r>
          </w:p>
        </w:tc>
        <w:tc>
          <w:tcPr>
            <w:tcW w:w="533" w:type="dxa"/>
          </w:tcPr>
          <w:p w14:paraId="6945945C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2D597905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760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C84885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3701F91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5" w:type="dxa"/>
          </w:tcPr>
          <w:p w14:paraId="5F77D7F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49" w:type="dxa"/>
          </w:tcPr>
          <w:p w14:paraId="13A4F3D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CJ</w:t>
            </w:r>
          </w:p>
        </w:tc>
        <w:tc>
          <w:tcPr>
            <w:tcW w:w="1005" w:type="dxa"/>
            <w:vAlign w:val="center"/>
          </w:tcPr>
          <w:p w14:paraId="3A2BB2DC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36 700</w:t>
            </w:r>
          </w:p>
        </w:tc>
      </w:tr>
      <w:tr w:rsidR="002420F3" w:rsidRPr="002420F3" w14:paraId="13F5D42A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032669A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73B0FBA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7B2D510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52A4BBC6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CAJ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14C48987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420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2DCB76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7875404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452F339D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49" w:type="dxa"/>
          </w:tcPr>
          <w:p w14:paraId="3EDBEFD1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5" w:type="dxa"/>
            <w:vAlign w:val="center"/>
          </w:tcPr>
          <w:p w14:paraId="168C0057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800</w:t>
            </w:r>
          </w:p>
        </w:tc>
      </w:tr>
      <w:tr w:rsidR="00B97D6C" w:rsidRPr="002420F3" w14:paraId="27057862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8D8F8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6C0E9B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01D1D37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69AA3D7E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4305ECA2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310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553D5D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C40AFB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28A2DCC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0AFD509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vAlign w:val="center"/>
          </w:tcPr>
          <w:p w14:paraId="330A23A0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47020771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17E8177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3DD96EE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59813823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Balance </w:t>
            </w:r>
          </w:p>
        </w:tc>
        <w:tc>
          <w:tcPr>
            <w:tcW w:w="533" w:type="dxa"/>
          </w:tcPr>
          <w:p w14:paraId="4D537FD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C2EE1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15 140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67F241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69747B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44A7F3E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7A44C16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3ABB859F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008E0975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33E45C5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AB7F4E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5E3A7C8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04C865F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FC988A" w14:textId="77777777" w:rsidR="00B97D6C" w:rsidRPr="002420F3" w:rsidRDefault="00573D10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52 180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7374978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AE54AF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2979BF9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3EB715B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C8C083" w14:textId="77777777" w:rsidR="00B97D6C" w:rsidRPr="002420F3" w:rsidRDefault="00573D10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52 180</w:t>
            </w:r>
          </w:p>
        </w:tc>
      </w:tr>
      <w:tr w:rsidR="00B97D6C" w:rsidRPr="002420F3" w14:paraId="3A886D4D" w14:textId="77777777" w:rsidTr="00A23586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</w:tcPr>
          <w:p w14:paraId="640D72E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FD872B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033768F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7FC2BEB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C7842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 w14:paraId="783E68D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4923D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49F02B2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14:paraId="1DB40DF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87DF26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15 140</w:t>
            </w:r>
          </w:p>
        </w:tc>
      </w:tr>
    </w:tbl>
    <w:p w14:paraId="1ED5FB2A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p w14:paraId="12114C15" w14:textId="77777777" w:rsidR="00573D10" w:rsidRPr="002420F3" w:rsidRDefault="00573D10" w:rsidP="00573D10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CREDITORS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2159"/>
        <w:gridCol w:w="2161"/>
      </w:tblGrid>
      <w:tr w:rsidR="00573D10" w:rsidRPr="002420F3" w14:paraId="7BB601B2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08298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EC733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CE264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573D10" w:rsidRPr="002420F3" w14:paraId="05638B27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6C1509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AV Supplies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6FA80E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ED3E3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2 330</w:t>
            </w:r>
          </w:p>
        </w:tc>
      </w:tr>
      <w:tr w:rsidR="00573D10" w:rsidRPr="002420F3" w14:paraId="36F82429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56DE08EB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QA Wholesalers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F09109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39CE35F1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1 450</w:t>
            </w:r>
          </w:p>
        </w:tc>
      </w:tr>
      <w:tr w:rsidR="00573D10" w:rsidRPr="002420F3" w14:paraId="00876EDD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89008EA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Basco</w:t>
            </w:r>
            <w:proofErr w:type="spellEnd"/>
            <w:r w:rsidRPr="002420F3">
              <w:rPr>
                <w:sz w:val="24"/>
                <w:szCs w:val="24"/>
                <w:lang w:val="en-ZA"/>
              </w:rPr>
              <w:t xml:space="preserve"> Traders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78B2F8E8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0503DECF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9 380</w:t>
            </w:r>
          </w:p>
        </w:tc>
      </w:tr>
      <w:tr w:rsidR="00573D10" w:rsidRPr="002420F3" w14:paraId="037DB8DB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6B4C895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07FF41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07C3F43F" w14:textId="77777777" w:rsidR="00573D10" w:rsidRPr="002420F3" w:rsidRDefault="002420F3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710</w:t>
            </w:r>
          </w:p>
        </w:tc>
      </w:tr>
      <w:tr w:rsidR="00573D10" w:rsidRPr="002420F3" w14:paraId="2BB4283E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0929643B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Starbuck &amp; Co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3F6E78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021CF373" w14:textId="77777777" w:rsidR="00573D10" w:rsidRPr="002420F3" w:rsidRDefault="002420F3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1 110</w:t>
            </w:r>
          </w:p>
        </w:tc>
      </w:tr>
      <w:tr w:rsidR="00573D10" w:rsidRPr="002420F3" w14:paraId="37DC6B32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978A579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Chin Lu Suppliers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6470E05B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595BF540" w14:textId="77777777" w:rsidR="00573D10" w:rsidRPr="002420F3" w:rsidRDefault="002420F3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660</w:t>
            </w:r>
          </w:p>
        </w:tc>
      </w:tr>
      <w:tr w:rsidR="00573D10" w:rsidRPr="002420F3" w14:paraId="01C74E88" w14:textId="77777777" w:rsidTr="00A23586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39ED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00DFD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259B66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4500CFC9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C6CE7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B8ACE49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18945F" w14:textId="77777777" w:rsidR="00573D10" w:rsidRPr="002420F3" w:rsidRDefault="002420F3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15 640</w:t>
            </w:r>
          </w:p>
        </w:tc>
      </w:tr>
    </w:tbl>
    <w:p w14:paraId="4B30329A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p w14:paraId="13121CF5" w14:textId="77777777" w:rsidR="002420F3" w:rsidRPr="002420F3" w:rsidRDefault="002420F3" w:rsidP="00B97D6C">
      <w:pPr>
        <w:spacing w:line="240" w:lineRule="auto"/>
        <w:rPr>
          <w:sz w:val="24"/>
          <w:szCs w:val="24"/>
          <w:lang w:val="en-ZA"/>
        </w:rPr>
      </w:pPr>
    </w:p>
    <w:p w14:paraId="38EDA2C5" w14:textId="77777777" w:rsidR="002420F3" w:rsidRPr="002420F3" w:rsidRDefault="002420F3" w:rsidP="00B97D6C">
      <w:pPr>
        <w:spacing w:line="240" w:lineRule="auto"/>
        <w:rPr>
          <w:sz w:val="24"/>
          <w:szCs w:val="24"/>
          <w:lang w:val="en-ZA"/>
        </w:rPr>
      </w:pPr>
    </w:p>
    <w:p w14:paraId="0F8A2926" w14:textId="77777777" w:rsidR="002420F3" w:rsidRPr="002420F3" w:rsidRDefault="002420F3" w:rsidP="00B97D6C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>Additional information</w:t>
      </w:r>
    </w:p>
    <w:p w14:paraId="42595884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The balance of Zimba Stores account in the Debtors Ledger must be transferred to their account in the Creditors Ledger.</w:t>
      </w:r>
    </w:p>
    <w:p w14:paraId="78A5A541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 xml:space="preserve">Stock valued at R600 was returned by Shultz.  This has been wrongly posted to the account of </w:t>
      </w:r>
      <w:proofErr w:type="spellStart"/>
      <w:r w:rsidRPr="002420F3">
        <w:rPr>
          <w:sz w:val="24"/>
          <w:szCs w:val="24"/>
          <w:lang w:val="en-ZA"/>
        </w:rPr>
        <w:t>Stahls</w:t>
      </w:r>
      <w:proofErr w:type="spellEnd"/>
      <w:r w:rsidRPr="002420F3">
        <w:rPr>
          <w:sz w:val="24"/>
          <w:szCs w:val="24"/>
          <w:lang w:val="en-ZA"/>
        </w:rPr>
        <w:t>.</w:t>
      </w:r>
    </w:p>
    <w:p w14:paraId="05C19EA3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Merchandise was sold on credit to Alan for R540.  This transaction has not been recorded.</w:t>
      </w:r>
    </w:p>
    <w:p w14:paraId="6FEF759B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 xml:space="preserve">An invoice for goods purchased from </w:t>
      </w:r>
      <w:proofErr w:type="spellStart"/>
      <w:r w:rsidRPr="002420F3">
        <w:rPr>
          <w:sz w:val="24"/>
          <w:szCs w:val="24"/>
          <w:lang w:val="en-ZA"/>
        </w:rPr>
        <w:t>Basco</w:t>
      </w:r>
      <w:proofErr w:type="spellEnd"/>
      <w:r w:rsidRPr="002420F3">
        <w:rPr>
          <w:sz w:val="24"/>
          <w:szCs w:val="24"/>
          <w:lang w:val="en-ZA"/>
        </w:rPr>
        <w:t xml:space="preserve"> Traders was entered in the Creditors Journal as R4 320 instead of R3 420.</w:t>
      </w:r>
    </w:p>
    <w:p w14:paraId="507FA375" w14:textId="22DB6B88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 xml:space="preserve">Chin Lu Suppliers’ account had been settled by </w:t>
      </w:r>
      <w:r w:rsidR="00896DCA">
        <w:rPr>
          <w:sz w:val="24"/>
          <w:szCs w:val="24"/>
          <w:lang w:val="en-ZA"/>
        </w:rPr>
        <w:t>EFT</w:t>
      </w:r>
      <w:r w:rsidRPr="002420F3">
        <w:rPr>
          <w:sz w:val="24"/>
          <w:szCs w:val="24"/>
          <w:lang w:val="en-ZA"/>
        </w:rPr>
        <w:t xml:space="preserve"> for R600.  This transaction has been correctly recorded in the CPJ.  The posting to their account in the Creditors Ledger had not been done.</w:t>
      </w:r>
    </w:p>
    <w:p w14:paraId="4BAEABED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Stock sold to Collins was incorrectly posted to the account of Pillay, R1 230.</w:t>
      </w:r>
    </w:p>
    <w:p w14:paraId="07067692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The entry to charge Collins R120 interest on his overdue account had not been made.</w:t>
      </w:r>
    </w:p>
    <w:p w14:paraId="1DFF7FDB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The account of Sanders must be written off.</w:t>
      </w:r>
    </w:p>
    <w:p w14:paraId="6DD8AC9A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The Creditors Journal was overcast (too much) by R70.</w:t>
      </w:r>
    </w:p>
    <w:p w14:paraId="2C628B0E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No entry had been made of merchandise returned to AV Supplies R550.</w:t>
      </w:r>
    </w:p>
    <w:p w14:paraId="5B7D5C58" w14:textId="77777777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>A sales return of R120 by Alan was correctly entered in the Debtors Allowances Journal, but when posting to his account it was posted as sales.</w:t>
      </w:r>
    </w:p>
    <w:p w14:paraId="734C8803" w14:textId="0C2C62D6" w:rsidR="002420F3" w:rsidRPr="002420F3" w:rsidRDefault="002420F3" w:rsidP="002420F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en-ZA"/>
        </w:rPr>
      </w:pPr>
      <w:r w:rsidRPr="002420F3">
        <w:rPr>
          <w:sz w:val="24"/>
          <w:szCs w:val="24"/>
          <w:lang w:val="en-ZA"/>
        </w:rPr>
        <w:t xml:space="preserve">A </w:t>
      </w:r>
      <w:r w:rsidR="00916E33">
        <w:rPr>
          <w:sz w:val="24"/>
          <w:szCs w:val="24"/>
          <w:lang w:val="en-ZA"/>
        </w:rPr>
        <w:t>payment</w:t>
      </w:r>
      <w:r w:rsidRPr="002420F3">
        <w:rPr>
          <w:sz w:val="24"/>
          <w:szCs w:val="24"/>
          <w:lang w:val="en-ZA"/>
        </w:rPr>
        <w:t xml:space="preserve"> for R340 issued to Starbuck &amp; Co. was correctly recorded in the Cash Payments Journal but was posted to his account as R430.</w:t>
      </w:r>
    </w:p>
    <w:p w14:paraId="41C541C9" w14:textId="77777777" w:rsidR="002420F3" w:rsidRPr="002420F3" w:rsidRDefault="002420F3" w:rsidP="002420F3">
      <w:pPr>
        <w:spacing w:after="0" w:line="240" w:lineRule="auto"/>
        <w:rPr>
          <w:sz w:val="24"/>
          <w:szCs w:val="24"/>
          <w:lang w:val="en-ZA"/>
        </w:rPr>
      </w:pPr>
    </w:p>
    <w:p w14:paraId="47799E40" w14:textId="77777777" w:rsidR="00B97D6C" w:rsidRPr="002420F3" w:rsidRDefault="00B97D6C">
      <w:pPr>
        <w:rPr>
          <w:sz w:val="24"/>
          <w:szCs w:val="24"/>
          <w:lang w:val="en-ZA"/>
        </w:rPr>
      </w:pPr>
    </w:p>
    <w:p w14:paraId="1FB8DC1D" w14:textId="77777777" w:rsidR="00B97D6C" w:rsidRPr="002420F3" w:rsidRDefault="00B97D6C">
      <w:pPr>
        <w:rPr>
          <w:sz w:val="24"/>
          <w:szCs w:val="24"/>
          <w:lang w:val="en-ZA"/>
        </w:rPr>
      </w:pPr>
    </w:p>
    <w:sectPr w:rsidR="00B97D6C" w:rsidRPr="002420F3" w:rsidSect="00624E0B">
      <w:pgSz w:w="11906" w:h="16838"/>
      <w:pgMar w:top="720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C78"/>
    <w:multiLevelType w:val="hybridMultilevel"/>
    <w:tmpl w:val="74A8B92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F2"/>
    <w:rsid w:val="002420F3"/>
    <w:rsid w:val="00352CFD"/>
    <w:rsid w:val="00573D10"/>
    <w:rsid w:val="00624E0B"/>
    <w:rsid w:val="00665DE0"/>
    <w:rsid w:val="00896DCA"/>
    <w:rsid w:val="008F7C80"/>
    <w:rsid w:val="00916E33"/>
    <w:rsid w:val="00AB5240"/>
    <w:rsid w:val="00B97D6C"/>
    <w:rsid w:val="00B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81F9A"/>
  <w15:docId w15:val="{FEDC41C5-1161-4916-BC4E-0D78F96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TAYLOR</dc:creator>
  <cp:lastModifiedBy>Chris Grobler</cp:lastModifiedBy>
  <cp:revision>2</cp:revision>
  <cp:lastPrinted>2023-05-02T05:41:00Z</cp:lastPrinted>
  <dcterms:created xsi:type="dcterms:W3CDTF">2024-04-26T07:37:00Z</dcterms:created>
  <dcterms:modified xsi:type="dcterms:W3CDTF">2024-04-26T07:37:00Z</dcterms:modified>
</cp:coreProperties>
</file>